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436</w:t>
      </w:r>
    </w:p>
    <w:p>
      <w:r>
        <w:t>Bundesgericht (BGE), 1967-12-08, DE</w:t>
      </w:r>
    </w:p>
    <w:p>
      <w:r>
        <w:rPr>
          <w:b/>
        </w:rPr>
        <w:t xml:space="preserve">Quelle: </w:t>
      </w:r>
      <w:r>
        <w:t>https://mcp.opencaselaw.ch/entscheid/bge_93 II 436</w:t>
      </w:r>
    </w:p>
    <w:p>
      <w:r>
        <w:t>FR: ATF 93 II 436</w:t>
      </w:r>
    </w:p>
    <w:p>
      <w:r>
        <w:t>IT: DTF 93 II 436</w:t>
      </w:r>
    </w:p>
    <w:p>
      <w:pPr>
        <w:pStyle w:val="Heading2"/>
      </w:pPr>
      <w:r>
        <w:t>Regeste</w:t>
      </w:r>
    </w:p>
    <w:p>
      <w:r>
        <w:t>Regeste Berufung. Begriff der Zivilrechtsstreitigkeit (Art. 44 ff. OG). Entscheide über die Bewilligung des Rechtsvorschlages in der Wechselbetreibung sind nicht solche in Zivilsachen. Sie unterliegen daher der Berufung nicht.</w:t>
      </w:r>
    </w:p>
    <w:p>
      <w:pPr>
        <w:pStyle w:val="Heading2"/>
      </w:pPr>
      <w:r>
        <w:t>Erwägungen</w:t>
      </w:r>
    </w:p>
    <w:p>
      <w:r>
        <w:rPr>
          <w:b/>
        </w:rPr>
        <w:t>E. 1</w:t>
      </w:r>
    </w:p>
    <w:p>
      <w:r>
        <w:t>Die Berufung an das Bundesgericht ist von hier nicht zutreffenden Ausnahmen ( Art. 44 lit. a-c, 45 lit. b OG ) abgesehen, nur in Zivilrechtsstreitigkeiten zulässig (Art. 44 eingangs und 46 OG). Darunter ist ein Zweiparteienverfahren zu verstehen, das auf die endgültige, dauernde Regelung zivilrechtlicher Verhältnisse durch behördlichen Entscheid abzielt (vgl. BGE 91 II 54 und 396 sowie dort erwähnte frühere Entscheide). In den vom Schuldbetreibungs- und Konkursgesetz vorgesehenen Prozessen ist dies dahin zu verstehen, dass auch die bloss für das betreffende Vollstreckungsverfahren geltenden Entscheidungen in Betracht fallen. Gegenstand der Entscheidung muss jedoch der Bestand zivilrechtlicher Ansprüche oder eine Beschränkung ihrer Geltendmachung oder endlich ein Eingriff in solche Ansprüche sein (was abgesehen von den Kollokationsklagen auch bei den im ordentlichen Verfahren zu erledigenden Widerspruchs-, Aussonderungs- und Admassierungs- sowie Anfechtungsprozessen zutrifft, Art. 106 ff., 240, 242, 285 ff. SchKG) ( BGE 81 II 83 Erw. 1).</w:t>
      </w:r>
    </w:p>
    <w:p>
      <w:r>
        <w:rPr>
          <w:b/>
        </w:rPr>
        <w:t>E. 2</w:t>
      </w:r>
    </w:p>
    <w:p>
      <w:r>
        <w:t>Entscheide im Rechtsöffnungsverfahren sind nicht solche in Zivilsachen, sondern reine Vollstreckungserkenntnisse, und zwar auch dann, wenn vorfrageweise materielles Recht zu prüfen ist. Der Rechtsöffnungsrichter befindet auch im letztern Fall nicht über den Bestand der in Betreibung gesetzten Forderung, BGE 93 II 436 S. 438 sondern nur über deren Vollstreckbarkeit. Die Berufung ist daher gegen Rechtsöffnungsentscheide nach ständiger Rechtsprechung (vgl. BGE 72 II 54 und dort erwähnte Entscheide, BGE 76 I 48 ) und fast einhelligem Schrifttum (vgl. FAVRE, Droit des poursuites, 2. Aufl., 1967, S. 145, Ziff. 4 und FRITZSCHE, Schuldbetreibung und Konkurs I, 2. Aufl., 1967, S. 136, BIRCHMEIER, Bundesrechtspflege, S. 125, a. M. GULDENER, Schweizerisches Zivilprozessrecht, S. 36, N. 43, der allerdings die öffentlichrechtliche Natur der betreibungsrechtlichen Klagen anerkennt) nicht zulässig. Es besteht kein Grund, Entscheide über die Bewilligung des Rechtsvorschlages in der Wechselbetreibung anders zu behandeln als Rechtsöffnungsentscheide. Auch sie sind bloss vollstreckungsrechtlicher Art, betreffen als solche nicht die im Streite liegenden Ansprüche, sondern bloss den Gang des Verfahrens. Demzufolge räumt Art. 187 SchKG dem Schuldner, der infolge Unterlassung oder Nichtbewilligung eines Rechtsvorschlages eine Nichtschuld bezahlt hat, das Recht ein, auf dem ordentlichen Prozessweg den bezahlten Betrag zurückzufordern. In diesem Sinne hat die Rechtsprechung bereits unter der Herrschaft des alten Organisationsgesetzes entschieden (vgl. BGE 19/161 und 162). Da der angefochtene Entscheid nicht eine Zivilsache betrifft, ist auf die Berufung nicht einzutreten und braucht nicht geprüft zu werden, ob die Voraussetzungen eines Endentscheides nach Art. 48 OG vorliegen, wie die Klägerin geltend macht.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